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55" w:rsidRDefault="0015575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155755" w:rsidRDefault="00155755">
      <w:pPr>
        <w:widowControl w:val="0"/>
        <w:autoSpaceDE w:val="0"/>
        <w:autoSpaceDN w:val="0"/>
        <w:adjustRightInd w:val="0"/>
        <w:spacing w:after="0" w:line="240" w:lineRule="auto"/>
        <w:jc w:val="both"/>
        <w:outlineLvl w:val="0"/>
        <w:rPr>
          <w:rFonts w:ascii="Calibri" w:hAnsi="Calibri" w:cs="Calibri"/>
        </w:rPr>
      </w:pP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02-01-09/35943</w:t>
      </w:r>
    </w:p>
    <w:p w:rsidR="00155755" w:rsidRDefault="00155755">
      <w:pPr>
        <w:widowControl w:val="0"/>
        <w:autoSpaceDE w:val="0"/>
        <w:autoSpaceDN w:val="0"/>
        <w:adjustRightInd w:val="0"/>
        <w:spacing w:after="0" w:line="240" w:lineRule="auto"/>
        <w:jc w:val="center"/>
        <w:rPr>
          <w:rFonts w:ascii="Calibri" w:hAnsi="Calibri" w:cs="Calibri"/>
          <w:b/>
          <w:bCs/>
        </w:rPr>
      </w:pP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07-04-05/03-411</w:t>
      </w:r>
    </w:p>
    <w:p w:rsidR="00155755" w:rsidRDefault="00155755">
      <w:pPr>
        <w:widowControl w:val="0"/>
        <w:autoSpaceDE w:val="0"/>
        <w:autoSpaceDN w:val="0"/>
        <w:adjustRightInd w:val="0"/>
        <w:spacing w:after="0" w:line="240" w:lineRule="auto"/>
        <w:jc w:val="center"/>
        <w:rPr>
          <w:rFonts w:ascii="Calibri" w:hAnsi="Calibri" w:cs="Calibri"/>
          <w:b/>
          <w:bCs/>
        </w:rPr>
      </w:pP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155755" w:rsidRDefault="001557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июня 2015 года</w:t>
      </w:r>
    </w:p>
    <w:p w:rsidR="00155755" w:rsidRDefault="00155755">
      <w:pPr>
        <w:widowControl w:val="0"/>
        <w:autoSpaceDE w:val="0"/>
        <w:autoSpaceDN w:val="0"/>
        <w:adjustRightInd w:val="0"/>
        <w:spacing w:after="0" w:line="240" w:lineRule="auto"/>
        <w:jc w:val="both"/>
        <w:rPr>
          <w:rFonts w:ascii="Calibri" w:hAnsi="Calibri" w:cs="Calibri"/>
        </w:rPr>
      </w:pPr>
    </w:p>
    <w:p w:rsidR="00155755" w:rsidRDefault="0015575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Министерство финансов Российской Федерации и Федеральное казначейство в целях реализации положений </w:t>
      </w:r>
      <w:hyperlink r:id="rId6" w:history="1">
        <w:r>
          <w:rPr>
            <w:rFonts w:ascii="Calibri" w:hAnsi="Calibri" w:cs="Calibri"/>
            <w:color w:val="0000FF"/>
          </w:rPr>
          <w:t>пункта 29.1</w:t>
        </w:r>
      </w:hyperlink>
      <w:r>
        <w:rPr>
          <w:rFonts w:ascii="Calibri" w:hAnsi="Calibri" w:cs="Calibri"/>
        </w:rPr>
        <w:t xml:space="preserve"> постановления Правительства Российской Федерации от 27 декабря 2014 г. N 1563 "О мерах по реализации Федерального закона "О федеральном бюджете на 2015 год и плановый период 2016 и 2017 годов" (далее - Постановление N 1563) и положений </w:t>
      </w:r>
      <w:hyperlink r:id="rId7"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6 марта 2015 г. N 199</w:t>
      </w:r>
      <w:proofErr w:type="gramEnd"/>
      <w:r>
        <w:rPr>
          <w:rFonts w:ascii="Calibri" w:hAnsi="Calibri" w:cs="Calibri"/>
        </w:rPr>
        <w:t xml:space="preserve"> "О случаях и условиях, при которых в 2015 году заказчик вправе не устанавливать требование обеспечения исполнения контракта в извещении об осуществлении закупки и (или) проекте контракта" (далее - Постановление N 199), сообщают.</w:t>
      </w:r>
    </w:p>
    <w:p w:rsidR="00155755" w:rsidRDefault="00155755">
      <w:pPr>
        <w:widowControl w:val="0"/>
        <w:autoSpaceDE w:val="0"/>
        <w:autoSpaceDN w:val="0"/>
        <w:adjustRightInd w:val="0"/>
        <w:spacing w:after="0" w:line="240" w:lineRule="auto"/>
        <w:ind w:firstLine="540"/>
        <w:jc w:val="both"/>
        <w:rPr>
          <w:rFonts w:ascii="Calibri" w:hAnsi="Calibri" w:cs="Calibri"/>
        </w:rPr>
      </w:pPr>
      <w:bookmarkStart w:id="0" w:name="Par11"/>
      <w:bookmarkEnd w:id="0"/>
      <w:r>
        <w:rPr>
          <w:rFonts w:ascii="Calibri" w:hAnsi="Calibri" w:cs="Calibri"/>
        </w:rPr>
        <w:t xml:space="preserve">1. </w:t>
      </w:r>
      <w:proofErr w:type="gramStart"/>
      <w:r>
        <w:rPr>
          <w:rFonts w:ascii="Calibri" w:hAnsi="Calibri" w:cs="Calibri"/>
        </w:rPr>
        <w:t xml:space="preserve">Положениями </w:t>
      </w:r>
      <w:hyperlink r:id="rId8" w:history="1">
        <w:r>
          <w:rPr>
            <w:rFonts w:ascii="Calibri" w:hAnsi="Calibri" w:cs="Calibri"/>
            <w:color w:val="0000FF"/>
          </w:rPr>
          <w:t>пункта 29.1</w:t>
        </w:r>
      </w:hyperlink>
      <w:r>
        <w:rPr>
          <w:rFonts w:ascii="Calibri" w:hAnsi="Calibri" w:cs="Calibri"/>
        </w:rPr>
        <w:t xml:space="preserve"> Постановления N 1563 установлено, что получатели средств федерального бюджета (далее - получатели) при заключении договоров (государственных контрактов) о поставке товаров, выполнении работ и оказании услуг (далее - контракт) в пределах доведенных им в установленном порядке соответствующих лимитов бюджетных обязательств вправе предусматривать авансовые платежи по контрактам (за исключением контрактов, условиями которых предусматривается обязательство по выполнению работ (оказанию услуг), их этапов</w:t>
      </w:r>
      <w:proofErr w:type="gramEnd"/>
      <w:r>
        <w:rPr>
          <w:rFonts w:ascii="Calibri" w:hAnsi="Calibri" w:cs="Calibri"/>
        </w:rPr>
        <w:t xml:space="preserve"> </w:t>
      </w:r>
      <w:proofErr w:type="gramStart"/>
      <w:r>
        <w:rPr>
          <w:rFonts w:ascii="Calibri" w:hAnsi="Calibri" w:cs="Calibri"/>
        </w:rPr>
        <w:t>продолжительностью не более одного месяца после оплаты контракта, этапа его исполнения) от 30 до 80 процентов суммы контракта, но не более 80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 если иное не установлено федеральными законами и нормативными правовыми актами Правительства Российской Федерации.</w:t>
      </w:r>
      <w:proofErr w:type="gramEnd"/>
    </w:p>
    <w:p w:rsidR="00155755" w:rsidRDefault="0015575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Установление таких размеров авансовых платежей возможно при включении в контракты (за исключением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условия о перечислении авансовых платежей на счета, открытые территориальным органам Федерального казначейства в учреждениях Центрального банка Российской Федерации для учета операций</w:t>
      </w:r>
      <w:proofErr w:type="gramEnd"/>
      <w:r>
        <w:rPr>
          <w:rFonts w:ascii="Calibri" w:hAnsi="Calibri" w:cs="Calibri"/>
        </w:rPr>
        <w:t xml:space="preserve"> со средствами юридических лиц.</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указанных положений получатели, предусматривающие в условиях контракта авансовые платежи от 30 до 80 процентов суммы контракта, но не более 80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 обязаны осуществить следующие мероприятия.</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Обеспечить включение в проекты контрактов:</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об открытии поставщику (подрядчику, исполнителю) по контракту (далее - поставщик) лицевого счета для учета операций </w:t>
      </w:r>
      <w:proofErr w:type="spellStart"/>
      <w:r>
        <w:rPr>
          <w:rFonts w:ascii="Calibri" w:hAnsi="Calibri" w:cs="Calibri"/>
        </w:rPr>
        <w:t>неучастника</w:t>
      </w:r>
      <w:proofErr w:type="spellEnd"/>
      <w:r>
        <w:rPr>
          <w:rFonts w:ascii="Calibri" w:hAnsi="Calibri" w:cs="Calibri"/>
        </w:rPr>
        <w:t xml:space="preserve"> бюджетного процесса в органе Федерального казначейства;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реквизитов счета органа Федерального казначейства, на который будут перечисляться авансовые платежи;</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 перечислении авансовых платежей, в соответствии с положениями </w:t>
      </w:r>
      <w:hyperlink r:id="rId9" w:history="1">
        <w:r>
          <w:rPr>
            <w:rFonts w:ascii="Calibri" w:hAnsi="Calibri" w:cs="Calibri"/>
            <w:color w:val="0000FF"/>
          </w:rPr>
          <w:t>пункта 29.1</w:t>
        </w:r>
      </w:hyperlink>
      <w:r>
        <w:rPr>
          <w:rFonts w:ascii="Calibri" w:hAnsi="Calibri" w:cs="Calibri"/>
        </w:rPr>
        <w:t xml:space="preserve"> Постановления 1563.</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Организовать работу с поставщиками по открытию им в органах Федерального казначейства лицевых счетов для учета операций </w:t>
      </w:r>
      <w:proofErr w:type="spellStart"/>
      <w:r>
        <w:rPr>
          <w:rFonts w:ascii="Calibri" w:hAnsi="Calibri" w:cs="Calibri"/>
        </w:rPr>
        <w:t>неучастника</w:t>
      </w:r>
      <w:proofErr w:type="spellEnd"/>
      <w:r>
        <w:rPr>
          <w:rFonts w:ascii="Calibri" w:hAnsi="Calibri" w:cs="Calibri"/>
        </w:rPr>
        <w:t xml:space="preserve"> бюджетного процесса в </w:t>
      </w:r>
      <w:r>
        <w:rPr>
          <w:rFonts w:ascii="Calibri" w:hAnsi="Calibri" w:cs="Calibri"/>
        </w:rPr>
        <w:lastRenderedPageBreak/>
        <w:t xml:space="preserve">соответствии с требованиями </w:t>
      </w:r>
      <w:hyperlink r:id="rId10" w:history="1">
        <w:r>
          <w:rPr>
            <w:rFonts w:ascii="Calibri" w:hAnsi="Calibri" w:cs="Calibri"/>
            <w:color w:val="0000FF"/>
          </w:rPr>
          <w:t>Порядка</w:t>
        </w:r>
      </w:hyperlink>
      <w:r>
        <w:rPr>
          <w:rFonts w:ascii="Calibri" w:hAnsi="Calibri" w:cs="Calibri"/>
        </w:rPr>
        <w:t xml:space="preserve"> открытия и ведения лицевых счетов территориальными органами Федерального казначейства, утвержденного приказом Федерального казначейства от 29 декабря 2012 г. N 24н (далее - Порядок 24н).</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Открытие лицевого счета для учета операций </w:t>
      </w:r>
      <w:proofErr w:type="spellStart"/>
      <w:r>
        <w:rPr>
          <w:rFonts w:ascii="Calibri" w:hAnsi="Calibri" w:cs="Calibri"/>
        </w:rPr>
        <w:t>неучастника</w:t>
      </w:r>
      <w:proofErr w:type="spellEnd"/>
      <w:r>
        <w:rPr>
          <w:rFonts w:ascii="Calibri" w:hAnsi="Calibri" w:cs="Calibri"/>
        </w:rPr>
        <w:t xml:space="preserve"> бюджетного процесса поставщику для учета операций с авансовыми платежами осуществляется на основании представленного поставщиком в орган Федерального казначейства: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Заявления на открытие лицевого счета (код формы по </w:t>
      </w:r>
      <w:hyperlink r:id="rId11" w:history="1">
        <w:r>
          <w:rPr>
            <w:rFonts w:ascii="Calibri" w:hAnsi="Calibri" w:cs="Calibri"/>
            <w:color w:val="0000FF"/>
          </w:rPr>
          <w:t>КФД 0531752</w:t>
        </w:r>
      </w:hyperlink>
      <w:r>
        <w:rPr>
          <w:rFonts w:ascii="Calibri" w:hAnsi="Calibri" w:cs="Calibri"/>
        </w:rPr>
        <w:t xml:space="preserve">) (далее - Заявление), оформленного в соответствии с </w:t>
      </w:r>
      <w:hyperlink r:id="rId12" w:history="1">
        <w:r>
          <w:rPr>
            <w:rFonts w:ascii="Calibri" w:hAnsi="Calibri" w:cs="Calibri"/>
            <w:color w:val="0000FF"/>
          </w:rPr>
          <w:t>пунктом 14</w:t>
        </w:r>
      </w:hyperlink>
      <w:r>
        <w:rPr>
          <w:rFonts w:ascii="Calibri" w:hAnsi="Calibri" w:cs="Calibri"/>
        </w:rPr>
        <w:t xml:space="preserve"> Порядка N 24н, с указанием по строке "Основание для открытия лицевого счета" наименования документа, в соответствии с которым открывается лицевой счет, с отражением в кодовой зоне номера и даты данного документа;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Карточки образцов подписей к лицевым счетам (код формы по </w:t>
      </w:r>
      <w:hyperlink r:id="rId13" w:history="1">
        <w:r>
          <w:rPr>
            <w:rFonts w:ascii="Calibri" w:hAnsi="Calibri" w:cs="Calibri"/>
            <w:color w:val="0000FF"/>
          </w:rPr>
          <w:t>КФД 0531753</w:t>
        </w:r>
      </w:hyperlink>
      <w:r>
        <w:rPr>
          <w:rFonts w:ascii="Calibri" w:hAnsi="Calibri" w:cs="Calibri"/>
        </w:rPr>
        <w:t xml:space="preserve">), оформленной в соответствии с </w:t>
      </w:r>
      <w:hyperlink r:id="rId14" w:history="1">
        <w:r>
          <w:rPr>
            <w:rFonts w:ascii="Calibri" w:hAnsi="Calibri" w:cs="Calibri"/>
            <w:color w:val="0000FF"/>
          </w:rPr>
          <w:t>пунктом 18</w:t>
        </w:r>
      </w:hyperlink>
      <w:r>
        <w:rPr>
          <w:rFonts w:ascii="Calibri" w:hAnsi="Calibri" w:cs="Calibri"/>
        </w:rPr>
        <w:t xml:space="preserve"> Порядка N 24н, заверенной на оборотной стороне нотариально;</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контракта, заключенного поставщиком с получателем, являющегося основанием для открытия лицевого счета, заверенной получателем, перечисляющим суммы авансовых платежей, либо заверенной нотариально.</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Органы Федерального казначейства обеспечивают в установленном порядке открытие лицевого счета для учета операций </w:t>
      </w:r>
      <w:proofErr w:type="spellStart"/>
      <w:r>
        <w:rPr>
          <w:rFonts w:ascii="Calibri" w:hAnsi="Calibri" w:cs="Calibri"/>
        </w:rPr>
        <w:t>неучастника</w:t>
      </w:r>
      <w:proofErr w:type="spellEnd"/>
      <w:r>
        <w:rPr>
          <w:rFonts w:ascii="Calibri" w:hAnsi="Calibri" w:cs="Calibri"/>
        </w:rPr>
        <w:t xml:space="preserve"> бюджетного процесса поставщику.</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одном лицевом счете для учета операций </w:t>
      </w:r>
      <w:proofErr w:type="spellStart"/>
      <w:r>
        <w:rPr>
          <w:rFonts w:ascii="Calibri" w:hAnsi="Calibri" w:cs="Calibri"/>
        </w:rPr>
        <w:t>неучастника</w:t>
      </w:r>
      <w:proofErr w:type="spellEnd"/>
      <w:r>
        <w:rPr>
          <w:rFonts w:ascii="Calibri" w:hAnsi="Calibri" w:cs="Calibri"/>
        </w:rPr>
        <w:t xml:space="preserve"> бюджетного процесса учитываются операции со средствами авансовых платежей, предусмотренных одним контрактом.</w:t>
      </w:r>
    </w:p>
    <w:p w:rsidR="00155755" w:rsidRDefault="0015575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Министерство финансов Российской Федерации и Федеральное казначейство обращают внимание на то, что в соответствии с положениями </w:t>
      </w:r>
      <w:hyperlink r:id="rId15" w:history="1">
        <w:r>
          <w:rPr>
            <w:rFonts w:ascii="Calibri" w:hAnsi="Calibri" w:cs="Calibri"/>
            <w:color w:val="0000FF"/>
          </w:rPr>
          <w:t>пунктов 10</w:t>
        </w:r>
      </w:hyperlink>
      <w:r>
        <w:rPr>
          <w:rFonts w:ascii="Calibri" w:hAnsi="Calibri" w:cs="Calibri"/>
        </w:rPr>
        <w:t xml:space="preserve"> и </w:t>
      </w:r>
      <w:hyperlink r:id="rId16" w:history="1">
        <w:r>
          <w:rPr>
            <w:rFonts w:ascii="Calibri" w:hAnsi="Calibri" w:cs="Calibri"/>
            <w:color w:val="0000FF"/>
          </w:rPr>
          <w:t>14</w:t>
        </w:r>
      </w:hyperlink>
      <w:r>
        <w:rPr>
          <w:rFonts w:ascii="Calibri" w:hAnsi="Calibri" w:cs="Calibri"/>
        </w:rPr>
        <w:t xml:space="preserve"> Порядка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утвержденного приказом Министерства финансов Российской Федерации от 1 сентября 2008 г. N 87н, органы Федерального казначейства возвращают без исполнения платежные документы, представленные</w:t>
      </w:r>
      <w:proofErr w:type="gramEnd"/>
      <w:r>
        <w:rPr>
          <w:rFonts w:ascii="Calibri" w:hAnsi="Calibri" w:cs="Calibri"/>
        </w:rPr>
        <w:t xml:space="preserve"> получателем для перечисления авансовых платежей по контрактам получателю сумм авансовых платежей, минуя счета органов Федерального казначейства.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Для осуществления санкционирования расходов за счет средств авансовых платежей поставщику необходимо руководствоваться положениями </w:t>
      </w:r>
      <w:hyperlink r:id="rId17" w:history="1">
        <w:r>
          <w:rPr>
            <w:rFonts w:ascii="Calibri" w:hAnsi="Calibri" w:cs="Calibri"/>
            <w:color w:val="0000FF"/>
          </w:rPr>
          <w:t>Порядка</w:t>
        </w:r>
      </w:hyperlink>
      <w:r>
        <w:rPr>
          <w:rFonts w:ascii="Calibri" w:hAnsi="Calibri" w:cs="Calibri"/>
        </w:rPr>
        <w:t xml:space="preserve"> санкционирования расходов юридических лиц, источником финансового обеспечения которых являются средства, предоставленные из федерального бюджета на основании статьи 5 Федерального закона "О федеральном бюджете на 2015 год и на плановый период 2016 и 2017 годов", утвержденного приказом Министерства финансов Российской Федерации от 16 февраля 2015 г. N</w:t>
      </w:r>
      <w:proofErr w:type="gramEnd"/>
      <w:r>
        <w:rPr>
          <w:rFonts w:ascii="Calibri" w:hAnsi="Calibri" w:cs="Calibri"/>
        </w:rPr>
        <w:t xml:space="preserve"> 23н.</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Положениями </w:t>
      </w:r>
      <w:hyperlink r:id="rId18" w:history="1">
        <w:r>
          <w:rPr>
            <w:rFonts w:ascii="Calibri" w:hAnsi="Calibri" w:cs="Calibri"/>
            <w:color w:val="0000FF"/>
          </w:rPr>
          <w:t>Постановления</w:t>
        </w:r>
      </w:hyperlink>
      <w:r>
        <w:rPr>
          <w:rFonts w:ascii="Calibri" w:hAnsi="Calibri" w:cs="Calibri"/>
        </w:rPr>
        <w:t xml:space="preserve"> 199 определены случаи и условия, при которых в 2015 году государственный заказчик вправе не устанавливать требование обеспечения исполнения контракта в извещении об осуществлении закупки и (или) проекте контракта.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таких случаев является содержание в извещении об осуществлении закупки и (или) в проекте контракта нормы о перечислении поставщику (подрядчику, исполнителю) авансовых платежей на счет, открытый территориальному органу Федерального казначейства в учреждениях Центрального банка Российской Федерации независимо от суммы планируемой сделки.</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 целях реализации положений </w:t>
      </w:r>
      <w:hyperlink r:id="rId19" w:history="1">
        <w:r>
          <w:rPr>
            <w:rFonts w:ascii="Calibri" w:hAnsi="Calibri" w:cs="Calibri"/>
            <w:color w:val="0000FF"/>
          </w:rPr>
          <w:t>Постановления</w:t>
        </w:r>
      </w:hyperlink>
      <w:r>
        <w:rPr>
          <w:rFonts w:ascii="Calibri" w:hAnsi="Calibri" w:cs="Calibri"/>
        </w:rPr>
        <w:t xml:space="preserve"> 199, в случае если государственный заказчик - получатель не устанавливает требование обеспечения исполнения контракта в извещении об осуществлении закупки и (или) проекте контракта, ему необходимо осуществить процедуры, аналогичные процедурам, указанным в </w:t>
      </w:r>
      <w:hyperlink w:anchor="Par11" w:history="1">
        <w:r>
          <w:rPr>
            <w:rFonts w:ascii="Calibri" w:hAnsi="Calibri" w:cs="Calibri"/>
            <w:color w:val="0000FF"/>
          </w:rPr>
          <w:t>пункте 1</w:t>
        </w:r>
      </w:hyperlink>
      <w:r>
        <w:rPr>
          <w:rFonts w:ascii="Calibri" w:hAnsi="Calibri" w:cs="Calibri"/>
        </w:rPr>
        <w:t xml:space="preserve"> настоящего письма.</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учитывая, что положения </w:t>
      </w:r>
      <w:hyperlink r:id="rId20" w:history="1">
        <w:r>
          <w:rPr>
            <w:rFonts w:ascii="Calibri" w:hAnsi="Calibri" w:cs="Calibri"/>
            <w:color w:val="0000FF"/>
          </w:rPr>
          <w:t>пункта 29.1</w:t>
        </w:r>
      </w:hyperlink>
      <w:r>
        <w:rPr>
          <w:rFonts w:ascii="Calibri" w:hAnsi="Calibri" w:cs="Calibri"/>
        </w:rPr>
        <w:t xml:space="preserve"> Постановления 1563 вступили в силу 2 апреля 2015 г., по мнению Министерства финансов Российской Федерации и Федерального казначейства, указанные положения не могут применяться в отношении:</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контрактов, заключенных при осуществлении закупок, </w:t>
      </w:r>
      <w:proofErr w:type="gramStart"/>
      <w:r>
        <w:rPr>
          <w:rFonts w:ascii="Calibri" w:hAnsi="Calibri" w:cs="Calibri"/>
        </w:rPr>
        <w:t>извещения</w:t>
      </w:r>
      <w:proofErr w:type="gramEnd"/>
      <w:r>
        <w:rPr>
          <w:rFonts w:ascii="Calibri" w:hAnsi="Calibri" w:cs="Calibri"/>
        </w:rPr>
        <w:t xml:space="preserve">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2 апреля 2015 г.;</w:t>
      </w:r>
    </w:p>
    <w:p w:rsidR="00155755" w:rsidRDefault="0015575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контрактов, заключенных с единственным поставщиком (подрядчиком, исполнителем), </w:t>
      </w:r>
      <w:r>
        <w:rPr>
          <w:rFonts w:ascii="Calibri" w:hAnsi="Calibri" w:cs="Calibri"/>
        </w:rPr>
        <w:lastRenderedPageBreak/>
        <w:t>если извещение о закупке у единственного поставщика размещено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2 апреля 2015 г.</w:t>
      </w:r>
    </w:p>
    <w:p w:rsidR="00155755" w:rsidRDefault="00155755">
      <w:pPr>
        <w:widowControl w:val="0"/>
        <w:autoSpaceDE w:val="0"/>
        <w:autoSpaceDN w:val="0"/>
        <w:adjustRightInd w:val="0"/>
        <w:spacing w:after="0" w:line="240" w:lineRule="auto"/>
        <w:jc w:val="both"/>
        <w:rPr>
          <w:rFonts w:ascii="Calibri" w:hAnsi="Calibri" w:cs="Calibri"/>
        </w:rPr>
      </w:pP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Министра финансов</w:t>
      </w: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А.М.ЛАВРОВ</w:t>
      </w:r>
    </w:p>
    <w:p w:rsidR="00155755" w:rsidRDefault="00155755">
      <w:pPr>
        <w:widowControl w:val="0"/>
        <w:autoSpaceDE w:val="0"/>
        <w:autoSpaceDN w:val="0"/>
        <w:adjustRightInd w:val="0"/>
        <w:spacing w:after="0" w:line="240" w:lineRule="auto"/>
        <w:jc w:val="both"/>
        <w:rPr>
          <w:rFonts w:ascii="Calibri" w:hAnsi="Calibri" w:cs="Calibri"/>
        </w:rPr>
      </w:pP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Федерального казначейства</w:t>
      </w:r>
    </w:p>
    <w:p w:rsidR="00155755" w:rsidRDefault="00155755">
      <w:pPr>
        <w:widowControl w:val="0"/>
        <w:autoSpaceDE w:val="0"/>
        <w:autoSpaceDN w:val="0"/>
        <w:adjustRightInd w:val="0"/>
        <w:spacing w:after="0" w:line="240" w:lineRule="auto"/>
        <w:jc w:val="right"/>
        <w:rPr>
          <w:rFonts w:ascii="Calibri" w:hAnsi="Calibri" w:cs="Calibri"/>
        </w:rPr>
      </w:pPr>
      <w:r>
        <w:rPr>
          <w:rFonts w:ascii="Calibri" w:hAnsi="Calibri" w:cs="Calibri"/>
        </w:rPr>
        <w:t>Р.Е.АРТЮХИН</w:t>
      </w:r>
    </w:p>
    <w:p w:rsidR="00155755" w:rsidRDefault="00155755">
      <w:pPr>
        <w:widowControl w:val="0"/>
        <w:autoSpaceDE w:val="0"/>
        <w:autoSpaceDN w:val="0"/>
        <w:adjustRightInd w:val="0"/>
        <w:spacing w:after="0" w:line="240" w:lineRule="auto"/>
        <w:jc w:val="both"/>
        <w:rPr>
          <w:rFonts w:ascii="Calibri" w:hAnsi="Calibri" w:cs="Calibri"/>
        </w:rPr>
      </w:pPr>
    </w:p>
    <w:p w:rsidR="00155755" w:rsidRDefault="00155755">
      <w:pPr>
        <w:widowControl w:val="0"/>
        <w:autoSpaceDE w:val="0"/>
        <w:autoSpaceDN w:val="0"/>
        <w:adjustRightInd w:val="0"/>
        <w:spacing w:after="0" w:line="240" w:lineRule="auto"/>
        <w:jc w:val="both"/>
        <w:rPr>
          <w:rFonts w:ascii="Calibri" w:hAnsi="Calibri" w:cs="Calibri"/>
        </w:rPr>
      </w:pPr>
    </w:p>
    <w:p w:rsidR="00155755" w:rsidRDefault="0015575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A2EBF" w:rsidRDefault="000A2EBF">
      <w:bookmarkStart w:id="1" w:name="_GoBack"/>
      <w:bookmarkEnd w:id="1"/>
    </w:p>
    <w:sectPr w:rsidR="000A2EBF" w:rsidSect="00400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55"/>
    <w:rsid w:val="000A2EBF"/>
    <w:rsid w:val="0015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487809B04658DF7A038359CBCD32F62165CC00E255F0627AE0BA020F43A5B2ACB7D7Z4tFF" TargetMode="External"/><Relationship Id="rId13" Type="http://schemas.openxmlformats.org/officeDocument/2006/relationships/hyperlink" Target="consultantplus://offline/ref=23487809B04658DF7A038359CBCD32F62165C102E755F0627AE0BA020F43A5B2ACB7D74B5C589A40ZDtAF" TargetMode="External"/><Relationship Id="rId18" Type="http://schemas.openxmlformats.org/officeDocument/2006/relationships/hyperlink" Target="consultantplus://offline/ref=23487809B04658DF7A038359CBCD32F62165C203E154F0627AE0BA020FZ4t3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3487809B04658DF7A038359CBCD32F62165C203E154F0627AE0BA020FZ4t3F" TargetMode="External"/><Relationship Id="rId12" Type="http://schemas.openxmlformats.org/officeDocument/2006/relationships/hyperlink" Target="consultantplus://offline/ref=23487809B04658DF7A038359CBCD32F62165C102E755F0627AE0BA020F43A5B2ACB7D74B5C589245ZDt0F" TargetMode="External"/><Relationship Id="rId17" Type="http://schemas.openxmlformats.org/officeDocument/2006/relationships/hyperlink" Target="consultantplus://offline/ref=23487809B04658DF7A038359CBCD32F62165C107E155F0627AE0BA020F43A5B2ACB7D74B5C589346ZDt9F" TargetMode="External"/><Relationship Id="rId2" Type="http://schemas.microsoft.com/office/2007/relationships/stylesWithEffects" Target="stylesWithEffects.xml"/><Relationship Id="rId16" Type="http://schemas.openxmlformats.org/officeDocument/2006/relationships/hyperlink" Target="consultantplus://offline/ref=23487809B04658DF7A038359CBCD32F62165C106EF5AF0627AE0BA020F43A5B2ACB7D74B5FZ5t1F" TargetMode="External"/><Relationship Id="rId20" Type="http://schemas.openxmlformats.org/officeDocument/2006/relationships/hyperlink" Target="consultantplus://offline/ref=23487809B04658DF7A038359CBCD32F62165CC00E255F0627AE0BA020F43A5B2ACB7D7Z4tFF" TargetMode="External"/><Relationship Id="rId1" Type="http://schemas.openxmlformats.org/officeDocument/2006/relationships/styles" Target="styles.xml"/><Relationship Id="rId6" Type="http://schemas.openxmlformats.org/officeDocument/2006/relationships/hyperlink" Target="consultantplus://offline/ref=23487809B04658DF7A038359CBCD32F62165CC00E255F0627AE0BA020F43A5B2ACB7D7Z4tFF" TargetMode="External"/><Relationship Id="rId11" Type="http://schemas.openxmlformats.org/officeDocument/2006/relationships/hyperlink" Target="consultantplus://offline/ref=23487809B04658DF7A038359CBCD32F62165C102E755F0627AE0BA020F43A5B2ACB7D74B5C589A42ZDt8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3487809B04658DF7A038359CBCD32F62165C106EF5AF0627AE0BA020F43A5B2ACB7D74B5C589342ZDtCF" TargetMode="External"/><Relationship Id="rId10" Type="http://schemas.openxmlformats.org/officeDocument/2006/relationships/hyperlink" Target="consultantplus://offline/ref=23487809B04658DF7A038359CBCD32F62165C102E755F0627AE0BA020F43A5B2ACB7D74B5C589346ZDt0F" TargetMode="External"/><Relationship Id="rId19" Type="http://schemas.openxmlformats.org/officeDocument/2006/relationships/hyperlink" Target="consultantplus://offline/ref=23487809B04658DF7A038359CBCD32F62165C203E154F0627AE0BA020FZ4t3F" TargetMode="External"/><Relationship Id="rId4" Type="http://schemas.openxmlformats.org/officeDocument/2006/relationships/webSettings" Target="webSettings.xml"/><Relationship Id="rId9" Type="http://schemas.openxmlformats.org/officeDocument/2006/relationships/hyperlink" Target="consultantplus://offline/ref=23487809B04658DF7A038359CBCD32F62165CC00E255F0627AE0BA020F43A5B2ACB7D7Z4tFF" TargetMode="External"/><Relationship Id="rId14" Type="http://schemas.openxmlformats.org/officeDocument/2006/relationships/hyperlink" Target="consultantplus://offline/ref=23487809B04658DF7A038359CBCD32F62165C102E755F0627AE0BA020F43A5B2ACB7D74B5C589240ZDt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2015-06-26T05:45:00Z</dcterms:created>
  <dcterms:modified xsi:type="dcterms:W3CDTF">2015-06-26T05:47:00Z</dcterms:modified>
</cp:coreProperties>
</file>